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0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800"/>
      </w:tblGrid>
      <w:tr>
        <w:tc>
          <w:tcPr>
            <w:tcW w:type="dxa" w:w="108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262626" w:color="auto" w:val="clear"/>
            <w:tcMar>
              <w:top w:type="dxa" w:w="200"/>
              <w:left w:type="dxa" w:w="200"/>
              <w:bottom w:type="dxa" w:w="200"/>
              <w:right w:type="dxa" w:w="20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30"/>
                <w:szCs w:val="30"/>
              </w:rPr>
              <w:t xml:space="preserve">HAZARDOUS STORAGE TANK SAFETY INSPECTION CHECKLIST</w:t>
            </w:r>
          </w:p>
          <w:p>
            <w:pPr>
              <w:spacing w:before="60"/>
              <w:jc w:val="center"/>
            </w:pPr>
            <w:r>
              <w:rPr>
                <w:rFonts w:ascii="Calibri" w:cs="Calibri" w:eastAsia="Calibri" w:hAnsi="Calibri"/>
                <w:i/>
                <w:iCs/>
                <w:color w:val="D9D9D9"/>
                <w:sz w:val="19"/>
                <w:szCs w:val="19"/>
              </w:rPr>
              <w:t xml:space="preserve">Fire, Explosion Prevention &amp; Emergency Preparedness — Process HSE Engineering</w:t>
            </w:r>
          </w:p>
        </w:tc>
      </w:tr>
    </w:tbl>
    <w:p>
      <w:pPr>
        <w:spacing w:after="200"/>
      </w:pPr>
    </w:p>
    <w:p>
      <w:pPr>
        <w:spacing w:after="80"/>
      </w:pPr>
      <w:r>
        <w:rPr>
          <w:rFonts w:ascii="Calibri" w:cs="Calibri" w:eastAsia="Calibri" w:hAnsi="Calibri"/>
          <w:b/>
          <w:bCs/>
          <w:color w:val="404040"/>
          <w:sz w:val="20"/>
          <w:szCs w:val="20"/>
        </w:rPr>
        <w:t xml:space="preserve">Document Control</w:t>
      </w:r>
    </w:p>
    <w:tbl>
      <w:tblPr>
        <w:tblW w:type="dxa" w:w="10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3400"/>
        <w:gridCol w:w="2200"/>
        <w:gridCol w:w="3000"/>
      </w:tblGrid>
      <w:tr>
        <w:tc>
          <w:tcPr>
            <w:tcW w:type="dxa" w:w="22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D9D9D9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A"/>
                <w:sz w:val="18"/>
                <w:szCs w:val="18"/>
              </w:rPr>
              <w:t xml:space="preserve">Document No.</w:t>
            </w:r>
          </w:p>
        </w:tc>
        <w:tc>
          <w:tcPr>
            <w:tcW w:type="dxa" w:w="34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HSE-TNK-CHK-001</w:t>
            </w:r>
          </w:p>
        </w:tc>
        <w:tc>
          <w:tcPr>
            <w:tcW w:type="dxa" w:w="22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D9D9D9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A"/>
                <w:sz w:val="18"/>
                <w:szCs w:val="18"/>
              </w:rPr>
              <w:t xml:space="preserve">Revision No.</w:t>
            </w:r>
          </w:p>
        </w:tc>
        <w:tc>
          <w:tcPr>
            <w:tcW w:type="dxa" w:w="30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00</w:t>
            </w:r>
          </w:p>
        </w:tc>
      </w:tr>
      <w:tr>
        <w:tc>
          <w:tcPr>
            <w:tcW w:type="dxa" w:w="22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D9D9D9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A"/>
                <w:sz w:val="18"/>
                <w:szCs w:val="18"/>
              </w:rPr>
              <w:t xml:space="preserve">Effective Date</w:t>
            </w:r>
          </w:p>
        </w:tc>
        <w:tc>
          <w:tcPr>
            <w:tcW w:type="dxa" w:w="34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____ / ____ / 2026</w:t>
            </w:r>
          </w:p>
        </w:tc>
        <w:tc>
          <w:tcPr>
            <w:tcW w:type="dxa" w:w="22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D9D9D9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A"/>
                <w:sz w:val="18"/>
                <w:szCs w:val="18"/>
              </w:rPr>
              <w:t xml:space="preserve">Review Cycle</w:t>
            </w:r>
          </w:p>
        </w:tc>
        <w:tc>
          <w:tcPr>
            <w:tcW w:type="dxa" w:w="30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Annual</w:t>
            </w:r>
          </w:p>
        </w:tc>
      </w:tr>
      <w:tr>
        <w:tc>
          <w:tcPr>
            <w:tcW w:type="dxa" w:w="22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D9D9D9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A"/>
                <w:sz w:val="18"/>
                <w:szCs w:val="18"/>
              </w:rPr>
              <w:t xml:space="preserve">Facility / Site</w:t>
            </w:r>
          </w:p>
        </w:tc>
        <w:tc>
          <w:tcPr>
            <w:tcW w:type="dxa" w:w="34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____________________</w:t>
            </w:r>
          </w:p>
        </w:tc>
        <w:tc>
          <w:tcPr>
            <w:tcW w:type="dxa" w:w="22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D9D9D9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A"/>
                <w:sz w:val="18"/>
                <w:szCs w:val="18"/>
              </w:rPr>
              <w:t xml:space="preserve">Tank Farm / Area</w:t>
            </w:r>
          </w:p>
        </w:tc>
        <w:tc>
          <w:tcPr>
            <w:tcW w:type="dxa" w:w="30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dxa" w:w="22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D9D9D9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A"/>
                <w:sz w:val="18"/>
                <w:szCs w:val="18"/>
              </w:rPr>
              <w:t xml:space="preserve">Department</w:t>
            </w:r>
          </w:p>
        </w:tc>
        <w:tc>
          <w:tcPr>
            <w:tcW w:type="dxa" w:w="34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HSE / Process Safety</w:t>
            </w:r>
          </w:p>
        </w:tc>
        <w:tc>
          <w:tcPr>
            <w:tcW w:type="dxa" w:w="22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D9D9D9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A"/>
                <w:sz w:val="18"/>
                <w:szCs w:val="18"/>
              </w:rPr>
              <w:t xml:space="preserve">Classification</w:t>
            </w:r>
          </w:p>
        </w:tc>
        <w:tc>
          <w:tcPr>
            <w:tcW w:type="dxa" w:w="30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Hazardous Storage Tank</w:t>
            </w:r>
          </w:p>
        </w:tc>
      </w:tr>
    </w:tbl>
    <w:p>
      <w:pPr>
        <w:spacing w:after="200"/>
      </w:pPr>
    </w:p>
    <w:p>
      <w:pPr>
        <w:spacing w:after="80"/>
      </w:pPr>
      <w:r>
        <w:rPr>
          <w:rFonts w:ascii="Calibri" w:cs="Calibri" w:eastAsia="Calibri" w:hAnsi="Calibri"/>
          <w:b/>
          <w:bCs/>
          <w:color w:val="404040"/>
          <w:sz w:val="20"/>
          <w:szCs w:val="20"/>
        </w:rPr>
        <w:t xml:space="preserve">Tank Identification</w:t>
      </w:r>
    </w:p>
    <w:tbl>
      <w:tblPr>
        <w:tblW w:type="dxa" w:w="10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3400"/>
        <w:gridCol w:w="2200"/>
        <w:gridCol w:w="3000"/>
      </w:tblGrid>
      <w:tr>
        <w:tc>
          <w:tcPr>
            <w:tcW w:type="dxa" w:w="22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D9D9D9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A"/>
                <w:sz w:val="18"/>
                <w:szCs w:val="18"/>
              </w:rPr>
              <w:t xml:space="preserve">Tank ID / Tag No.</w:t>
            </w:r>
          </w:p>
        </w:tc>
        <w:tc>
          <w:tcPr>
            <w:tcW w:type="dxa" w:w="34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____________________</w:t>
            </w:r>
          </w:p>
        </w:tc>
        <w:tc>
          <w:tcPr>
            <w:tcW w:type="dxa" w:w="22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D9D9D9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A"/>
                <w:sz w:val="18"/>
                <w:szCs w:val="18"/>
              </w:rPr>
              <w:t xml:space="preserve">Tank Type</w:t>
            </w:r>
          </w:p>
        </w:tc>
        <w:tc>
          <w:tcPr>
            <w:tcW w:type="dxa" w:w="30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Fixed Roof / Floating Roof / Bullet / Sphere</w:t>
            </w:r>
          </w:p>
        </w:tc>
      </w:tr>
      <w:tr>
        <w:tc>
          <w:tcPr>
            <w:tcW w:type="dxa" w:w="22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D9D9D9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A"/>
                <w:sz w:val="18"/>
                <w:szCs w:val="18"/>
              </w:rPr>
              <w:t xml:space="preserve">Product Stored</w:t>
            </w:r>
          </w:p>
        </w:tc>
        <w:tc>
          <w:tcPr>
            <w:tcW w:type="dxa" w:w="34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____________________</w:t>
            </w:r>
          </w:p>
        </w:tc>
        <w:tc>
          <w:tcPr>
            <w:tcW w:type="dxa" w:w="22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D9D9D9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A"/>
                <w:sz w:val="18"/>
                <w:szCs w:val="18"/>
              </w:rPr>
              <w:t xml:space="preserve">Hazard Class</w:t>
            </w:r>
          </w:p>
        </w:tc>
        <w:tc>
          <w:tcPr>
            <w:tcW w:type="dxa" w:w="30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Flammable / Toxic / Combustible</w:t>
            </w:r>
          </w:p>
        </w:tc>
      </w:tr>
      <w:tr>
        <w:tc>
          <w:tcPr>
            <w:tcW w:type="dxa" w:w="22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D9D9D9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A"/>
                <w:sz w:val="18"/>
                <w:szCs w:val="18"/>
              </w:rPr>
              <w:t xml:space="preserve">Capacity (m³ / bbl)</w:t>
            </w:r>
          </w:p>
        </w:tc>
        <w:tc>
          <w:tcPr>
            <w:tcW w:type="dxa" w:w="34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____________________</w:t>
            </w:r>
          </w:p>
        </w:tc>
        <w:tc>
          <w:tcPr>
            <w:tcW w:type="dxa" w:w="22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D9D9D9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A"/>
                <w:sz w:val="18"/>
                <w:szCs w:val="18"/>
              </w:rPr>
              <w:t xml:space="preserve">Year Commissioned</w:t>
            </w:r>
          </w:p>
        </w:tc>
        <w:tc>
          <w:tcPr>
            <w:tcW w:type="dxa" w:w="30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dxa" w:w="22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D9D9D9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A"/>
                <w:sz w:val="18"/>
                <w:szCs w:val="18"/>
              </w:rPr>
              <w:t xml:space="preserve">Location / Bund Area</w:t>
            </w:r>
          </w:p>
        </w:tc>
        <w:tc>
          <w:tcPr>
            <w:tcW w:type="dxa" w:w="34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____________________</w:t>
            </w:r>
          </w:p>
        </w:tc>
        <w:tc>
          <w:tcPr>
            <w:tcW w:type="dxa" w:w="22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D9D9D9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A"/>
                <w:sz w:val="18"/>
                <w:szCs w:val="18"/>
              </w:rPr>
              <w:t xml:space="preserve">Zone Classification</w:t>
            </w:r>
          </w:p>
        </w:tc>
        <w:tc>
          <w:tcPr>
            <w:tcW w:type="dxa" w:w="30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250"/>
      </w:pPr>
    </w:p>
    <w:tbl>
      <w:tblPr>
        <w:tblW w:type="dxa" w:w="10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800"/>
      </w:tblGrid>
      <w:tr>
        <w:tc>
          <w:tcPr>
            <w:tcW w:type="dxa" w:w="108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404040" w:color="auto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SECTION A — PURPOSE &amp; SCOPE</w:t>
            </w:r>
          </w:p>
        </w:tc>
      </w:tr>
    </w:tbl>
    <w:p>
      <w:pPr>
        <w:spacing w:after="80"/>
      </w:pPr>
    </w:p>
    <w:p>
      <w:pPr>
        <w:spacing w:after="200"/>
      </w:pPr>
      <w:r>
        <w:rPr>
          <w:rFonts w:ascii="Calibri" w:cs="Calibri" w:eastAsia="Calibri" w:hAnsi="Calibri"/>
          <w:sz w:val="18"/>
          <w:szCs w:val="18"/>
        </w:rPr>
        <w:t xml:space="preserve">This checklist is to be used by the Process / HSE Engineer to verify the mechanical integrity, fire and explosion prevention safeguards, and emergency preparedness status of hazardous storage tanks. Mark each item as Y (Compliant), N (Non-Compliant), or NA (Not Applicable) and record remarks / corrective actions where required.</w:t>
      </w:r>
    </w:p>
    <w:tbl>
      <w:tblPr>
        <w:tblW w:type="dxa" w:w="10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800"/>
      </w:tblGrid>
      <w:tr>
        <w:tc>
          <w:tcPr>
            <w:tcW w:type="dxa" w:w="108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404040" w:color="auto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SECTION B — STRUCTURAL &amp; MECHANICAL INTEGRITY</w:t>
            </w:r>
          </w:p>
        </w:tc>
      </w:tr>
    </w:tbl>
    <w:p>
      <w:pPr>
        <w:spacing w:after="80"/>
      </w:pPr>
    </w:p>
    <w:tbl>
      <w:tblPr>
        <w:tblW w:type="dxa" w:w="10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50"/>
        <w:gridCol w:w="5400"/>
        <w:gridCol w:w="1600"/>
        <w:gridCol w:w="1550"/>
        <w:gridCol w:w="1700"/>
      </w:tblGrid>
      <w:tr>
        <w:trPr>
          <w:tblHeader/>
        </w:trPr>
        <w:tc>
          <w:tcPr>
            <w:tcW w:type="dxa" w:w="55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D9D9D9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A"/>
                <w:sz w:val="18"/>
                <w:szCs w:val="18"/>
              </w:rPr>
              <w:t xml:space="preserve">S.No</w:t>
            </w:r>
          </w:p>
        </w:tc>
        <w:tc>
          <w:tcPr>
            <w:tcW w:type="dxa" w:w="54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D9D9D9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A"/>
                <w:sz w:val="18"/>
                <w:szCs w:val="18"/>
              </w:rPr>
              <w:t xml:space="preserve">Inspection Checkpoint</w:t>
            </w:r>
          </w:p>
        </w:tc>
        <w:tc>
          <w:tcPr>
            <w:tcW w:type="dxa" w:w="16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D9D9D9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A"/>
                <w:sz w:val="18"/>
                <w:szCs w:val="18"/>
              </w:rPr>
              <w:t xml:space="preserve">Frequency</w:t>
            </w:r>
          </w:p>
        </w:tc>
        <w:tc>
          <w:tcPr>
            <w:tcW w:type="dxa" w:w="155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D9D9D9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A"/>
                <w:sz w:val="18"/>
                <w:szCs w:val="18"/>
              </w:rPr>
              <w:t xml:space="preserve">Compliance
(Y / N / NA)</w:t>
            </w:r>
          </w:p>
        </w:tc>
        <w:tc>
          <w:tcPr>
            <w:tcW w:type="dxa" w:w="17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D9D9D9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A"/>
                <w:sz w:val="18"/>
                <w:szCs w:val="18"/>
              </w:rPr>
              <w:t xml:space="preserve">Remarks</w:t>
            </w:r>
          </w:p>
        </w:tc>
      </w:tr>
      <w:tr>
        <w:tc>
          <w:tcPr>
            <w:tcW w:type="dxa" w:w="55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1</w:t>
            </w:r>
          </w:p>
        </w:tc>
        <w:tc>
          <w:tcPr>
            <w:tcW w:type="dxa" w:w="54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Tank shell, roof, and floor free of visible corrosion, pitting, cracks, or bulging</w:t>
            </w:r>
          </w:p>
        </w:tc>
        <w:tc>
          <w:tcPr>
            <w:tcW w:type="dxa" w:w="16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Quarterly</w:t>
            </w:r>
          </w:p>
        </w:tc>
        <w:tc>
          <w:tcPr>
            <w:tcW w:type="dxa" w:w="155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type="dxa" w:w="17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55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2</w:t>
            </w:r>
          </w:p>
        </w:tc>
        <w:tc>
          <w:tcPr>
            <w:tcW w:type="dxa" w:w="54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Foundation / settlement check — no tilting, cracking, or subsidence observed</w:t>
            </w:r>
          </w:p>
        </w:tc>
        <w:tc>
          <w:tcPr>
            <w:tcW w:type="dxa" w:w="16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Annual</w:t>
            </w:r>
          </w:p>
        </w:tc>
        <w:tc>
          <w:tcPr>
            <w:tcW w:type="dxa" w:w="155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type="dxa" w:w="17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55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3</w:t>
            </w:r>
          </w:p>
        </w:tc>
        <w:tc>
          <w:tcPr>
            <w:tcW w:type="dxa" w:w="54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Nozzles, manways, and flanges free of leaks, corrosion, and loose bolting</w:t>
            </w:r>
          </w:p>
        </w:tc>
        <w:tc>
          <w:tcPr>
            <w:tcW w:type="dxa" w:w="16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Monthly</w:t>
            </w:r>
          </w:p>
        </w:tc>
        <w:tc>
          <w:tcPr>
            <w:tcW w:type="dxa" w:w="155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type="dxa" w:w="17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55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4</w:t>
            </w:r>
          </w:p>
        </w:tc>
        <w:tc>
          <w:tcPr>
            <w:tcW w:type="dxa" w:w="54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Pressure/vacuum relief valves (PVRV) functional, unobstructed, and within calibration</w:t>
            </w:r>
          </w:p>
        </w:tc>
        <w:tc>
          <w:tcPr>
            <w:tcW w:type="dxa" w:w="16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Quarterly</w:t>
            </w:r>
          </w:p>
        </w:tc>
        <w:tc>
          <w:tcPr>
            <w:tcW w:type="dxa" w:w="155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type="dxa" w:w="17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55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5</w:t>
            </w:r>
          </w:p>
        </w:tc>
        <w:tc>
          <w:tcPr>
            <w:tcW w:type="dxa" w:w="54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Level gauges, high-level alarms, and overfill protection devices tested and functional</w:t>
            </w:r>
          </w:p>
        </w:tc>
        <w:tc>
          <w:tcPr>
            <w:tcW w:type="dxa" w:w="16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Monthly</w:t>
            </w:r>
          </w:p>
        </w:tc>
        <w:tc>
          <w:tcPr>
            <w:tcW w:type="dxa" w:w="155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type="dxa" w:w="17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55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6</w:t>
            </w:r>
          </w:p>
        </w:tc>
        <w:tc>
          <w:tcPr>
            <w:tcW w:type="dxa" w:w="54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Bund wall / secondary containment intact, adequate capacity, and drain valves closed</w:t>
            </w:r>
          </w:p>
        </w:tc>
        <w:tc>
          <w:tcPr>
            <w:tcW w:type="dxa" w:w="16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Monthly</w:t>
            </w:r>
          </w:p>
        </w:tc>
        <w:tc>
          <w:tcPr>
            <w:tcW w:type="dxa" w:w="155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type="dxa" w:w="17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55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7</w:t>
            </w:r>
          </w:p>
        </w:tc>
        <w:tc>
          <w:tcPr>
            <w:tcW w:type="dxa" w:w="54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External coating / paint system intact (corrosion protection)</w:t>
            </w:r>
          </w:p>
        </w:tc>
        <w:tc>
          <w:tcPr>
            <w:tcW w:type="dxa" w:w="16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Annual</w:t>
            </w:r>
          </w:p>
        </w:tc>
        <w:tc>
          <w:tcPr>
            <w:tcW w:type="dxa" w:w="155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type="dxa" w:w="17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55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8</w:t>
            </w:r>
          </w:p>
        </w:tc>
        <w:tc>
          <w:tcPr>
            <w:tcW w:type="dxa" w:w="54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Internal inspection (API 653 / equivalent) up to date and certificate valid</w:t>
            </w:r>
          </w:p>
        </w:tc>
        <w:tc>
          <w:tcPr>
            <w:tcW w:type="dxa" w:w="16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As per API 653 schedule</w:t>
            </w:r>
          </w:p>
        </w:tc>
        <w:tc>
          <w:tcPr>
            <w:tcW w:type="dxa" w:w="155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type="dxa" w:w="17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55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9</w:t>
            </w:r>
          </w:p>
        </w:tc>
        <w:tc>
          <w:tcPr>
            <w:tcW w:type="dxa" w:w="54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Tank grounding/earthing continuity verified (resistance within limits)</w:t>
            </w:r>
          </w:p>
        </w:tc>
        <w:tc>
          <w:tcPr>
            <w:tcW w:type="dxa" w:w="16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Annual</w:t>
            </w:r>
          </w:p>
        </w:tc>
        <w:tc>
          <w:tcPr>
            <w:tcW w:type="dxa" w:w="155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type="dxa" w:w="17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 </w:t>
            </w:r>
          </w:p>
        </w:tc>
      </w:tr>
    </w:tbl>
    <w:p>
      <w:pPr>
        <w:spacing w:after="250"/>
      </w:pPr>
    </w:p>
    <w:tbl>
      <w:tblPr>
        <w:tblW w:type="dxa" w:w="10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800"/>
      </w:tblGrid>
      <w:tr>
        <w:tc>
          <w:tcPr>
            <w:tcW w:type="dxa" w:w="108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404040" w:color="auto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SECTION C — FIRE &amp; EXPLOSION PREVENTION SYSTEMS</w:t>
            </w:r>
          </w:p>
        </w:tc>
      </w:tr>
    </w:tbl>
    <w:p>
      <w:pPr>
        <w:spacing w:after="80"/>
      </w:pPr>
    </w:p>
    <w:tbl>
      <w:tblPr>
        <w:tblW w:type="dxa" w:w="10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50"/>
        <w:gridCol w:w="5400"/>
        <w:gridCol w:w="1600"/>
        <w:gridCol w:w="1550"/>
        <w:gridCol w:w="1700"/>
      </w:tblGrid>
      <w:tr>
        <w:trPr>
          <w:tblHeader/>
        </w:trPr>
        <w:tc>
          <w:tcPr>
            <w:tcW w:type="dxa" w:w="55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D9D9D9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A"/>
                <w:sz w:val="18"/>
                <w:szCs w:val="18"/>
              </w:rPr>
              <w:t xml:space="preserve">S.No</w:t>
            </w:r>
          </w:p>
        </w:tc>
        <w:tc>
          <w:tcPr>
            <w:tcW w:type="dxa" w:w="54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D9D9D9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A"/>
                <w:sz w:val="18"/>
                <w:szCs w:val="18"/>
              </w:rPr>
              <w:t xml:space="preserve">Inspection Checkpoint</w:t>
            </w:r>
          </w:p>
        </w:tc>
        <w:tc>
          <w:tcPr>
            <w:tcW w:type="dxa" w:w="16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D9D9D9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A"/>
                <w:sz w:val="18"/>
                <w:szCs w:val="18"/>
              </w:rPr>
              <w:t xml:space="preserve">Frequency</w:t>
            </w:r>
          </w:p>
        </w:tc>
        <w:tc>
          <w:tcPr>
            <w:tcW w:type="dxa" w:w="155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D9D9D9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A"/>
                <w:sz w:val="18"/>
                <w:szCs w:val="18"/>
              </w:rPr>
              <w:t xml:space="preserve">Compliance
(Y / N / NA)</w:t>
            </w:r>
          </w:p>
        </w:tc>
        <w:tc>
          <w:tcPr>
            <w:tcW w:type="dxa" w:w="17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D9D9D9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A"/>
                <w:sz w:val="18"/>
                <w:szCs w:val="18"/>
              </w:rPr>
              <w:t xml:space="preserve">Remarks</w:t>
            </w:r>
          </w:p>
        </w:tc>
      </w:tr>
      <w:tr>
        <w:tc>
          <w:tcPr>
            <w:tcW w:type="dxa" w:w="55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1</w:t>
            </w:r>
          </w:p>
        </w:tc>
        <w:tc>
          <w:tcPr>
            <w:tcW w:type="dxa" w:w="54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Fixed fire-fighting system (foam/water spray/deluge) inspected and operational</w:t>
            </w:r>
          </w:p>
        </w:tc>
        <w:tc>
          <w:tcPr>
            <w:tcW w:type="dxa" w:w="16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Monthly</w:t>
            </w:r>
          </w:p>
        </w:tc>
        <w:tc>
          <w:tcPr>
            <w:tcW w:type="dxa" w:w="155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type="dxa" w:w="17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55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2</w:t>
            </w:r>
          </w:p>
        </w:tc>
        <w:tc>
          <w:tcPr>
            <w:tcW w:type="dxa" w:w="54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Fire hydrants, monitors, and hose reels in the tank area accessible and functional</w:t>
            </w:r>
          </w:p>
        </w:tc>
        <w:tc>
          <w:tcPr>
            <w:tcW w:type="dxa" w:w="16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Monthly</w:t>
            </w:r>
          </w:p>
        </w:tc>
        <w:tc>
          <w:tcPr>
            <w:tcW w:type="dxa" w:w="155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type="dxa" w:w="17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55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3</w:t>
            </w:r>
          </w:p>
        </w:tc>
        <w:tc>
          <w:tcPr>
            <w:tcW w:type="dxa" w:w="54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Portable fire extinguishers in place, in-date, and correctly rated for Class B fire</w:t>
            </w:r>
          </w:p>
        </w:tc>
        <w:tc>
          <w:tcPr>
            <w:tcW w:type="dxa" w:w="16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Monthly</w:t>
            </w:r>
          </w:p>
        </w:tc>
        <w:tc>
          <w:tcPr>
            <w:tcW w:type="dxa" w:w="155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type="dxa" w:w="17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55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4</w:t>
            </w:r>
          </w:p>
        </w:tc>
        <w:tc>
          <w:tcPr>
            <w:tcW w:type="dxa" w:w="54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Flame arrestors / conservation vents on vents inspected and unobstructed</w:t>
            </w:r>
          </w:p>
        </w:tc>
        <w:tc>
          <w:tcPr>
            <w:tcW w:type="dxa" w:w="16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Quarterly</w:t>
            </w:r>
          </w:p>
        </w:tc>
        <w:tc>
          <w:tcPr>
            <w:tcW w:type="dxa" w:w="155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type="dxa" w:w="17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55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5</w:t>
            </w:r>
          </w:p>
        </w:tc>
        <w:tc>
          <w:tcPr>
            <w:tcW w:type="dxa" w:w="54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Gas detectors (LEL/H2S/VOC) calibrated and alarm set-points verified</w:t>
            </w:r>
          </w:p>
        </w:tc>
        <w:tc>
          <w:tcPr>
            <w:tcW w:type="dxa" w:w="16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Monthly</w:t>
            </w:r>
          </w:p>
        </w:tc>
        <w:tc>
          <w:tcPr>
            <w:tcW w:type="dxa" w:w="155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type="dxa" w:w="17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55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6</w:t>
            </w:r>
          </w:p>
        </w:tc>
        <w:tc>
          <w:tcPr>
            <w:tcW w:type="dxa" w:w="54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Fire and gas detection system linked to control room / ESD tested</w:t>
            </w:r>
          </w:p>
        </w:tc>
        <w:tc>
          <w:tcPr>
            <w:tcW w:type="dxa" w:w="16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Quarterly</w:t>
            </w:r>
          </w:p>
        </w:tc>
        <w:tc>
          <w:tcPr>
            <w:tcW w:type="dxa" w:w="155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type="dxa" w:w="17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55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7</w:t>
            </w:r>
          </w:p>
        </w:tc>
        <w:tc>
          <w:tcPr>
            <w:tcW w:type="dxa" w:w="54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Minimum safe distance / spacing from ignition sources maintained</w:t>
            </w:r>
          </w:p>
        </w:tc>
        <w:tc>
          <w:tcPr>
            <w:tcW w:type="dxa" w:w="16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Quarterly</w:t>
            </w:r>
          </w:p>
        </w:tc>
        <w:tc>
          <w:tcPr>
            <w:tcW w:type="dxa" w:w="155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type="dxa" w:w="17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55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8</w:t>
            </w:r>
          </w:p>
        </w:tc>
        <w:tc>
          <w:tcPr>
            <w:tcW w:type="dxa" w:w="54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Hot work permit controls enforced within hazardous zone boundary</w:t>
            </w:r>
          </w:p>
        </w:tc>
        <w:tc>
          <w:tcPr>
            <w:tcW w:type="dxa" w:w="16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Continuous / Audit basis</w:t>
            </w:r>
          </w:p>
        </w:tc>
        <w:tc>
          <w:tcPr>
            <w:tcW w:type="dxa" w:w="155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type="dxa" w:w="17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55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9</w:t>
            </w:r>
          </w:p>
        </w:tc>
        <w:tc>
          <w:tcPr>
            <w:tcW w:type="dxa" w:w="54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Vapor recovery / emission control system functioning correctly</w:t>
            </w:r>
          </w:p>
        </w:tc>
        <w:tc>
          <w:tcPr>
            <w:tcW w:type="dxa" w:w="16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Monthly</w:t>
            </w:r>
          </w:p>
        </w:tc>
        <w:tc>
          <w:tcPr>
            <w:tcW w:type="dxa" w:w="155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type="dxa" w:w="17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55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10</w:t>
            </w:r>
          </w:p>
        </w:tc>
        <w:tc>
          <w:tcPr>
            <w:tcW w:type="dxa" w:w="54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Explosion relief panels / weak roof-to-shell seam intact (fixed roof tanks)</w:t>
            </w:r>
          </w:p>
        </w:tc>
        <w:tc>
          <w:tcPr>
            <w:tcW w:type="dxa" w:w="16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Annual</w:t>
            </w:r>
          </w:p>
        </w:tc>
        <w:tc>
          <w:tcPr>
            <w:tcW w:type="dxa" w:w="155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type="dxa" w:w="17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 </w:t>
            </w:r>
          </w:p>
        </w:tc>
      </w:tr>
    </w:tbl>
    <w:p>
      <w:pPr>
        <w:spacing w:after="250"/>
      </w:pPr>
    </w:p>
    <w:tbl>
      <w:tblPr>
        <w:tblW w:type="dxa" w:w="10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800"/>
      </w:tblGrid>
      <w:tr>
        <w:tc>
          <w:tcPr>
            <w:tcW w:type="dxa" w:w="108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404040" w:color="auto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SECTION D — ELECTRICAL, STATIC &amp; LIGHTNING PROTECTION</w:t>
            </w:r>
          </w:p>
        </w:tc>
      </w:tr>
    </w:tbl>
    <w:p>
      <w:pPr>
        <w:spacing w:after="80"/>
      </w:pPr>
    </w:p>
    <w:tbl>
      <w:tblPr>
        <w:tblW w:type="dxa" w:w="10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50"/>
        <w:gridCol w:w="5400"/>
        <w:gridCol w:w="1600"/>
        <w:gridCol w:w="1550"/>
        <w:gridCol w:w="1700"/>
      </w:tblGrid>
      <w:tr>
        <w:trPr>
          <w:tblHeader/>
        </w:trPr>
        <w:tc>
          <w:tcPr>
            <w:tcW w:type="dxa" w:w="55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D9D9D9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A"/>
                <w:sz w:val="18"/>
                <w:szCs w:val="18"/>
              </w:rPr>
              <w:t xml:space="preserve">S.No</w:t>
            </w:r>
          </w:p>
        </w:tc>
        <w:tc>
          <w:tcPr>
            <w:tcW w:type="dxa" w:w="54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D9D9D9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A"/>
                <w:sz w:val="18"/>
                <w:szCs w:val="18"/>
              </w:rPr>
              <w:t xml:space="preserve">Inspection Checkpoint</w:t>
            </w:r>
          </w:p>
        </w:tc>
        <w:tc>
          <w:tcPr>
            <w:tcW w:type="dxa" w:w="16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D9D9D9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A"/>
                <w:sz w:val="18"/>
                <w:szCs w:val="18"/>
              </w:rPr>
              <w:t xml:space="preserve">Frequency</w:t>
            </w:r>
          </w:p>
        </w:tc>
        <w:tc>
          <w:tcPr>
            <w:tcW w:type="dxa" w:w="155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D9D9D9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A"/>
                <w:sz w:val="18"/>
                <w:szCs w:val="18"/>
              </w:rPr>
              <w:t xml:space="preserve">Compliance
(Y / N / NA)</w:t>
            </w:r>
          </w:p>
        </w:tc>
        <w:tc>
          <w:tcPr>
            <w:tcW w:type="dxa" w:w="17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D9D9D9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A"/>
                <w:sz w:val="18"/>
                <w:szCs w:val="18"/>
              </w:rPr>
              <w:t xml:space="preserve">Remarks</w:t>
            </w:r>
          </w:p>
        </w:tc>
      </w:tr>
      <w:tr>
        <w:tc>
          <w:tcPr>
            <w:tcW w:type="dxa" w:w="55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1</w:t>
            </w:r>
          </w:p>
        </w:tc>
        <w:tc>
          <w:tcPr>
            <w:tcW w:type="dxa" w:w="54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Lightning protection system (air terminals, down conductors) inspected</w:t>
            </w:r>
          </w:p>
        </w:tc>
        <w:tc>
          <w:tcPr>
            <w:tcW w:type="dxa" w:w="16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Annual</w:t>
            </w:r>
          </w:p>
        </w:tc>
        <w:tc>
          <w:tcPr>
            <w:tcW w:type="dxa" w:w="155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type="dxa" w:w="17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55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2</w:t>
            </w:r>
          </w:p>
        </w:tc>
        <w:tc>
          <w:tcPr>
            <w:tcW w:type="dxa" w:w="54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Earthing and bonding points at loading/unloading connections verified</w:t>
            </w:r>
          </w:p>
        </w:tc>
        <w:tc>
          <w:tcPr>
            <w:tcW w:type="dxa" w:w="16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Quarterly</w:t>
            </w:r>
          </w:p>
        </w:tc>
        <w:tc>
          <w:tcPr>
            <w:tcW w:type="dxa" w:w="155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type="dxa" w:w="17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55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3</w:t>
            </w:r>
          </w:p>
        </w:tc>
        <w:tc>
          <w:tcPr>
            <w:tcW w:type="dxa" w:w="54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Static grounding straps for tank trucks/rail cars tested before use</w:t>
            </w:r>
          </w:p>
        </w:tc>
        <w:tc>
          <w:tcPr>
            <w:tcW w:type="dxa" w:w="16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Every loading operation</w:t>
            </w:r>
          </w:p>
        </w:tc>
        <w:tc>
          <w:tcPr>
            <w:tcW w:type="dxa" w:w="155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type="dxa" w:w="17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55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4</w:t>
            </w:r>
          </w:p>
        </w:tc>
        <w:tc>
          <w:tcPr>
            <w:tcW w:type="dxa" w:w="54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Electrical equipment in hazardous area certified Ex-rated and intact (no damaged glands)</w:t>
            </w:r>
          </w:p>
        </w:tc>
        <w:tc>
          <w:tcPr>
            <w:tcW w:type="dxa" w:w="16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Quarterly</w:t>
            </w:r>
          </w:p>
        </w:tc>
        <w:tc>
          <w:tcPr>
            <w:tcW w:type="dxa" w:w="155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type="dxa" w:w="17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55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5</w:t>
            </w:r>
          </w:p>
        </w:tc>
        <w:tc>
          <w:tcPr>
            <w:tcW w:type="dxa" w:w="54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Cathodic protection system (impressed current / sacrificial anode) monitored</w:t>
            </w:r>
          </w:p>
        </w:tc>
        <w:tc>
          <w:tcPr>
            <w:tcW w:type="dxa" w:w="16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Monthly</w:t>
            </w:r>
          </w:p>
        </w:tc>
        <w:tc>
          <w:tcPr>
            <w:tcW w:type="dxa" w:w="155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type="dxa" w:w="17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55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6</w:t>
            </w:r>
          </w:p>
        </w:tc>
        <w:tc>
          <w:tcPr>
            <w:tcW w:type="dxa" w:w="54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Area classification (Zone 0/1/2) drawings current and posted</w:t>
            </w:r>
          </w:p>
        </w:tc>
        <w:tc>
          <w:tcPr>
            <w:tcW w:type="dxa" w:w="16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Annual</w:t>
            </w:r>
          </w:p>
        </w:tc>
        <w:tc>
          <w:tcPr>
            <w:tcW w:type="dxa" w:w="155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type="dxa" w:w="17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 </w:t>
            </w:r>
          </w:p>
        </w:tc>
      </w:tr>
    </w:tbl>
    <w:p>
      <w:pPr>
        <w:spacing w:after="250"/>
      </w:pPr>
    </w:p>
    <w:tbl>
      <w:tblPr>
        <w:tblW w:type="dxa" w:w="10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800"/>
      </w:tblGrid>
      <w:tr>
        <w:tc>
          <w:tcPr>
            <w:tcW w:type="dxa" w:w="108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404040" w:color="auto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SECTION E — EMERGENCY PREPAREDNESS &amp; RESPONSE</w:t>
            </w:r>
          </w:p>
        </w:tc>
      </w:tr>
    </w:tbl>
    <w:p>
      <w:pPr>
        <w:spacing w:after="80"/>
      </w:pPr>
    </w:p>
    <w:tbl>
      <w:tblPr>
        <w:tblW w:type="dxa" w:w="10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50"/>
        <w:gridCol w:w="5400"/>
        <w:gridCol w:w="1600"/>
        <w:gridCol w:w="1550"/>
        <w:gridCol w:w="1700"/>
      </w:tblGrid>
      <w:tr>
        <w:trPr>
          <w:tblHeader/>
        </w:trPr>
        <w:tc>
          <w:tcPr>
            <w:tcW w:type="dxa" w:w="55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D9D9D9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A"/>
                <w:sz w:val="18"/>
                <w:szCs w:val="18"/>
              </w:rPr>
              <w:t xml:space="preserve">S.No</w:t>
            </w:r>
          </w:p>
        </w:tc>
        <w:tc>
          <w:tcPr>
            <w:tcW w:type="dxa" w:w="54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D9D9D9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A"/>
                <w:sz w:val="18"/>
                <w:szCs w:val="18"/>
              </w:rPr>
              <w:t xml:space="preserve">Inspection Checkpoint</w:t>
            </w:r>
          </w:p>
        </w:tc>
        <w:tc>
          <w:tcPr>
            <w:tcW w:type="dxa" w:w="16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D9D9D9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A"/>
                <w:sz w:val="18"/>
                <w:szCs w:val="18"/>
              </w:rPr>
              <w:t xml:space="preserve">Frequency</w:t>
            </w:r>
          </w:p>
        </w:tc>
        <w:tc>
          <w:tcPr>
            <w:tcW w:type="dxa" w:w="155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D9D9D9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A"/>
                <w:sz w:val="18"/>
                <w:szCs w:val="18"/>
              </w:rPr>
              <w:t xml:space="preserve">Compliance
(Y / N / NA)</w:t>
            </w:r>
          </w:p>
        </w:tc>
        <w:tc>
          <w:tcPr>
            <w:tcW w:type="dxa" w:w="17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D9D9D9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A"/>
                <w:sz w:val="18"/>
                <w:szCs w:val="18"/>
              </w:rPr>
              <w:t xml:space="preserve">Remarks</w:t>
            </w:r>
          </w:p>
        </w:tc>
      </w:tr>
      <w:tr>
        <w:tc>
          <w:tcPr>
            <w:tcW w:type="dxa" w:w="55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1</w:t>
            </w:r>
          </w:p>
        </w:tc>
        <w:tc>
          <w:tcPr>
            <w:tcW w:type="dxa" w:w="54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Emergency Response Plan (ERP) for tank farm current and accessible</w:t>
            </w:r>
          </w:p>
        </w:tc>
        <w:tc>
          <w:tcPr>
            <w:tcW w:type="dxa" w:w="16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Annual review</w:t>
            </w:r>
          </w:p>
        </w:tc>
        <w:tc>
          <w:tcPr>
            <w:tcW w:type="dxa" w:w="155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type="dxa" w:w="17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55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2</w:t>
            </w:r>
          </w:p>
        </w:tc>
        <w:tc>
          <w:tcPr>
            <w:tcW w:type="dxa" w:w="54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Emergency shutdown (ESD) system tested and functional</w:t>
            </w:r>
          </w:p>
        </w:tc>
        <w:tc>
          <w:tcPr>
            <w:tcW w:type="dxa" w:w="16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Quarterly</w:t>
            </w:r>
          </w:p>
        </w:tc>
        <w:tc>
          <w:tcPr>
            <w:tcW w:type="dxa" w:w="155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type="dxa" w:w="17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55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3</w:t>
            </w:r>
          </w:p>
        </w:tc>
        <w:tc>
          <w:tcPr>
            <w:tcW w:type="dxa" w:w="54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Muster point signage, evacuation routes, and wind socks clearly visible</w:t>
            </w:r>
          </w:p>
        </w:tc>
        <w:tc>
          <w:tcPr>
            <w:tcW w:type="dxa" w:w="16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Monthly</w:t>
            </w:r>
          </w:p>
        </w:tc>
        <w:tc>
          <w:tcPr>
            <w:tcW w:type="dxa" w:w="155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type="dxa" w:w="17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55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4</w:t>
            </w:r>
          </w:p>
        </w:tc>
        <w:tc>
          <w:tcPr>
            <w:tcW w:type="dxa" w:w="54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Emergency contact list and escalation matrix displayed and up to date</w:t>
            </w:r>
          </w:p>
        </w:tc>
        <w:tc>
          <w:tcPr>
            <w:tcW w:type="dxa" w:w="16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Quarterly</w:t>
            </w:r>
          </w:p>
        </w:tc>
        <w:tc>
          <w:tcPr>
            <w:tcW w:type="dxa" w:w="155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type="dxa" w:w="17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55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5</w:t>
            </w:r>
          </w:p>
        </w:tc>
        <w:tc>
          <w:tcPr>
            <w:tcW w:type="dxa" w:w="54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Fire and emergency drills conducted for tank farm scenario (spill/fire/explosion)</w:t>
            </w:r>
          </w:p>
        </w:tc>
        <w:tc>
          <w:tcPr>
            <w:tcW w:type="dxa" w:w="16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Semi-annual</w:t>
            </w:r>
          </w:p>
        </w:tc>
        <w:tc>
          <w:tcPr>
            <w:tcW w:type="dxa" w:w="155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type="dxa" w:w="17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55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6</w:t>
            </w:r>
          </w:p>
        </w:tc>
        <w:tc>
          <w:tcPr>
            <w:tcW w:type="dxa" w:w="54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Spill containment / absorbent materials and spill kits available and stocked</w:t>
            </w:r>
          </w:p>
        </w:tc>
        <w:tc>
          <w:tcPr>
            <w:tcW w:type="dxa" w:w="16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Monthly</w:t>
            </w:r>
          </w:p>
        </w:tc>
        <w:tc>
          <w:tcPr>
            <w:tcW w:type="dxa" w:w="155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type="dxa" w:w="17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55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7</w:t>
            </w:r>
          </w:p>
        </w:tc>
        <w:tc>
          <w:tcPr>
            <w:tcW w:type="dxa" w:w="54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Personal protective equipment (PPE) and SCBA sets available and inspected</w:t>
            </w:r>
          </w:p>
        </w:tc>
        <w:tc>
          <w:tcPr>
            <w:tcW w:type="dxa" w:w="16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Monthly</w:t>
            </w:r>
          </w:p>
        </w:tc>
        <w:tc>
          <w:tcPr>
            <w:tcW w:type="dxa" w:w="155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type="dxa" w:w="17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55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8</w:t>
            </w:r>
          </w:p>
        </w:tc>
        <w:tc>
          <w:tcPr>
            <w:tcW w:type="dxa" w:w="54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Communication systems (PA, radio, emergency phones) tested and operational</w:t>
            </w:r>
          </w:p>
        </w:tc>
        <w:tc>
          <w:tcPr>
            <w:tcW w:type="dxa" w:w="16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Monthly</w:t>
            </w:r>
          </w:p>
        </w:tc>
        <w:tc>
          <w:tcPr>
            <w:tcW w:type="dxa" w:w="155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type="dxa" w:w="17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55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9</w:t>
            </w:r>
          </w:p>
        </w:tc>
        <w:tc>
          <w:tcPr>
            <w:tcW w:type="dxa" w:w="54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Mutual aid / external emergency services coordination confirmed</w:t>
            </w:r>
          </w:p>
        </w:tc>
        <w:tc>
          <w:tcPr>
            <w:tcW w:type="dxa" w:w="16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Annual</w:t>
            </w:r>
          </w:p>
        </w:tc>
        <w:tc>
          <w:tcPr>
            <w:tcW w:type="dxa" w:w="155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type="dxa" w:w="17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55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10</w:t>
            </w:r>
          </w:p>
        </w:tc>
        <w:tc>
          <w:tcPr>
            <w:tcW w:type="dxa" w:w="54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Incident investigation and corrective action tracker reviewed and closed out</w:t>
            </w:r>
          </w:p>
        </w:tc>
        <w:tc>
          <w:tcPr>
            <w:tcW w:type="dxa" w:w="16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Monthly</w:t>
            </w:r>
          </w:p>
        </w:tc>
        <w:tc>
          <w:tcPr>
            <w:tcW w:type="dxa" w:w="155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type="dxa" w:w="17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 </w:t>
            </w:r>
          </w:p>
        </w:tc>
      </w:tr>
    </w:tbl>
    <w:p>
      <w:pPr>
        <w:spacing w:after="250"/>
      </w:pPr>
    </w:p>
    <w:tbl>
      <w:tblPr>
        <w:tblW w:type="dxa" w:w="10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800"/>
      </w:tblGrid>
      <w:tr>
        <w:tc>
          <w:tcPr>
            <w:tcW w:type="dxa" w:w="108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404040" w:color="auto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SECTION F — LEADING INDICATORS (PROACTIVE KPIs)</w:t>
            </w:r>
          </w:p>
        </w:tc>
      </w:tr>
    </w:tbl>
    <w:p>
      <w:pPr>
        <w:spacing w:after="80"/>
      </w:pPr>
    </w:p>
    <w:tbl>
      <w:tblPr>
        <w:tblW w:type="dxa" w:w="10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800"/>
      </w:tblGrid>
      <w:tr>
        <w:tc>
          <w:tcPr>
            <w:tcW w:type="dxa" w:w="108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2F2F2" w:color="auto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A1A1A"/>
                <w:sz w:val="18"/>
                <w:szCs w:val="18"/>
              </w:rPr>
              <w:t xml:space="preserve">NOTE: </w:t>
            </w:r>
            <w:r>
              <w:rPr>
                <w:rFonts w:ascii="Calibri" w:cs="Calibri" w:eastAsia="Calibri" w:hAnsi="Calibri"/>
                <w:i/>
                <w:iCs/>
                <w:color w:val="1A1A1A"/>
                <w:sz w:val="18"/>
                <w:szCs w:val="18"/>
              </w:rPr>
              <w:t xml:space="preserve">Leading indicators measure proactive safety efforts that help prevent incidents before they occur.</w:t>
            </w:r>
          </w:p>
        </w:tc>
      </w:tr>
    </w:tbl>
    <w:p>
      <w:pPr>
        <w:spacing w:after="100"/>
      </w:pPr>
    </w:p>
    <w:tbl>
      <w:tblPr>
        <w:tblW w:type="dxa" w:w="10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900"/>
        <w:gridCol w:w="3600"/>
        <w:gridCol w:w="1600"/>
        <w:gridCol w:w="1300"/>
        <w:gridCol w:w="1400"/>
      </w:tblGrid>
      <w:tr>
        <w:trPr>
          <w:tblHeader/>
        </w:trPr>
        <w:tc>
          <w:tcPr>
            <w:tcW w:type="dxa" w:w="29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D9D9D9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A"/>
                <w:sz w:val="18"/>
                <w:szCs w:val="18"/>
              </w:rPr>
              <w:t xml:space="preserve">Indicator</w:t>
            </w:r>
          </w:p>
        </w:tc>
        <w:tc>
          <w:tcPr>
            <w:tcW w:type="dxa" w:w="36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D9D9D9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A"/>
                <w:sz w:val="18"/>
                <w:szCs w:val="18"/>
              </w:rPr>
              <w:t xml:space="preserve">Definition / Metric</w:t>
            </w:r>
          </w:p>
        </w:tc>
        <w:tc>
          <w:tcPr>
            <w:tcW w:type="dxa" w:w="16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D9D9D9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A"/>
                <w:sz w:val="18"/>
                <w:szCs w:val="18"/>
              </w:rPr>
              <w:t xml:space="preserve">Target / Threshold</w:t>
            </w:r>
          </w:p>
        </w:tc>
        <w:tc>
          <w:tcPr>
            <w:tcW w:type="dxa" w:w="13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D9D9D9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A"/>
                <w:sz w:val="18"/>
                <w:szCs w:val="18"/>
              </w:rPr>
              <w:t xml:space="preserve">Reporting
Frequency</w:t>
            </w:r>
          </w:p>
        </w:tc>
        <w:tc>
          <w:tcPr>
            <w:tcW w:type="dxa" w:w="14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D9D9D9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A"/>
                <w:sz w:val="18"/>
                <w:szCs w:val="18"/>
              </w:rPr>
              <w:t xml:space="preserve">Data Source</w:t>
            </w:r>
          </w:p>
        </w:tc>
      </w:tr>
      <w:tr>
        <w:tc>
          <w:tcPr>
            <w:tcW w:type="dxa" w:w="29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A"/>
                <w:sz w:val="18"/>
                <w:szCs w:val="18"/>
              </w:rPr>
              <w:t xml:space="preserve">Safety Observations / Near-Miss Reports</w:t>
            </w:r>
          </w:p>
        </w:tc>
        <w:tc>
          <w:tcPr>
            <w:tcW w:type="dxa" w:w="36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No. of proactive safety observations and near-misses reported per month for tank area</w:t>
            </w:r>
          </w:p>
        </w:tc>
        <w:tc>
          <w:tcPr>
            <w:tcW w:type="dxa" w:w="16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≥ 10 / month</w:t>
            </w:r>
          </w:p>
        </w:tc>
        <w:tc>
          <w:tcPr>
            <w:tcW w:type="dxa" w:w="13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Monthly</w:t>
            </w:r>
          </w:p>
        </w:tc>
        <w:tc>
          <w:tcPr>
            <w:tcW w:type="dxa" w:w="14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HSE Reporting System</w:t>
            </w:r>
          </w:p>
        </w:tc>
      </w:tr>
      <w:tr>
        <w:tc>
          <w:tcPr>
            <w:tcW w:type="dxa" w:w="29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A"/>
                <w:sz w:val="18"/>
                <w:szCs w:val="18"/>
              </w:rPr>
              <w:t xml:space="preserve">Inspection Completion Rate</w:t>
            </w:r>
          </w:p>
        </w:tc>
        <w:tc>
          <w:tcPr>
            <w:tcW w:type="dxa" w:w="36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% of scheduled tank inspections completed on time</w:t>
            </w:r>
          </w:p>
        </w:tc>
        <w:tc>
          <w:tcPr>
            <w:tcW w:type="dxa" w:w="16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100%</w:t>
            </w:r>
          </w:p>
        </w:tc>
        <w:tc>
          <w:tcPr>
            <w:tcW w:type="dxa" w:w="13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Monthly</w:t>
            </w:r>
          </w:p>
        </w:tc>
        <w:tc>
          <w:tcPr>
            <w:tcW w:type="dxa" w:w="14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Inspection Tracker</w:t>
            </w:r>
          </w:p>
        </w:tc>
      </w:tr>
      <w:tr>
        <w:tc>
          <w:tcPr>
            <w:tcW w:type="dxa" w:w="29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A"/>
                <w:sz w:val="18"/>
                <w:szCs w:val="18"/>
              </w:rPr>
              <w:t xml:space="preserve">Permit-to-Work Compliance</w:t>
            </w:r>
          </w:p>
        </w:tc>
        <w:tc>
          <w:tcPr>
            <w:tcW w:type="dxa" w:w="36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% of hot work / confined space permits audited with full compliance</w:t>
            </w:r>
          </w:p>
        </w:tc>
        <w:tc>
          <w:tcPr>
            <w:tcW w:type="dxa" w:w="16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≥ 95%</w:t>
            </w:r>
          </w:p>
        </w:tc>
        <w:tc>
          <w:tcPr>
            <w:tcW w:type="dxa" w:w="13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Monthly</w:t>
            </w:r>
          </w:p>
        </w:tc>
        <w:tc>
          <w:tcPr>
            <w:tcW w:type="dxa" w:w="14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PTW Audit Log</w:t>
            </w:r>
          </w:p>
        </w:tc>
      </w:tr>
      <w:tr>
        <w:tc>
          <w:tcPr>
            <w:tcW w:type="dxa" w:w="29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A"/>
                <w:sz w:val="18"/>
                <w:szCs w:val="18"/>
              </w:rPr>
              <w:t xml:space="preserve">Preventive Maintenance Completion</w:t>
            </w:r>
          </w:p>
        </w:tc>
        <w:tc>
          <w:tcPr>
            <w:tcW w:type="dxa" w:w="36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% of PM tasks (PVRV, gas detectors, fire system) completed within schedule</w:t>
            </w:r>
          </w:p>
        </w:tc>
        <w:tc>
          <w:tcPr>
            <w:tcW w:type="dxa" w:w="16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≥ 95%</w:t>
            </w:r>
          </w:p>
        </w:tc>
        <w:tc>
          <w:tcPr>
            <w:tcW w:type="dxa" w:w="13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Monthly</w:t>
            </w:r>
          </w:p>
        </w:tc>
        <w:tc>
          <w:tcPr>
            <w:tcW w:type="dxa" w:w="14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CMMS</w:t>
            </w:r>
          </w:p>
        </w:tc>
      </w:tr>
      <w:tr>
        <w:tc>
          <w:tcPr>
            <w:tcW w:type="dxa" w:w="29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A"/>
                <w:sz w:val="18"/>
                <w:szCs w:val="18"/>
              </w:rPr>
              <w:t xml:space="preserve">Emergency Drill Participation</w:t>
            </w:r>
          </w:p>
        </w:tc>
        <w:tc>
          <w:tcPr>
            <w:tcW w:type="dxa" w:w="36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% of assigned personnel participating in scheduled drills</w:t>
            </w:r>
          </w:p>
        </w:tc>
        <w:tc>
          <w:tcPr>
            <w:tcW w:type="dxa" w:w="16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100%</w:t>
            </w:r>
          </w:p>
        </w:tc>
        <w:tc>
          <w:tcPr>
            <w:tcW w:type="dxa" w:w="13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Semi-annual</w:t>
            </w:r>
          </w:p>
        </w:tc>
        <w:tc>
          <w:tcPr>
            <w:tcW w:type="dxa" w:w="14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Training Records</w:t>
            </w:r>
          </w:p>
        </w:tc>
      </w:tr>
      <w:tr>
        <w:tc>
          <w:tcPr>
            <w:tcW w:type="dxa" w:w="29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A"/>
                <w:sz w:val="18"/>
                <w:szCs w:val="18"/>
              </w:rPr>
              <w:t xml:space="preserve">Corrective Action Closure Rate</w:t>
            </w:r>
          </w:p>
        </w:tc>
        <w:tc>
          <w:tcPr>
            <w:tcW w:type="dxa" w:w="36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% of HSE findings/actions closed within target due date</w:t>
            </w:r>
          </w:p>
        </w:tc>
        <w:tc>
          <w:tcPr>
            <w:tcW w:type="dxa" w:w="16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≥ 90%</w:t>
            </w:r>
          </w:p>
        </w:tc>
        <w:tc>
          <w:tcPr>
            <w:tcW w:type="dxa" w:w="13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Monthly</w:t>
            </w:r>
          </w:p>
        </w:tc>
        <w:tc>
          <w:tcPr>
            <w:tcW w:type="dxa" w:w="14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Action Tracker</w:t>
            </w:r>
          </w:p>
        </w:tc>
      </w:tr>
      <w:tr>
        <w:tc>
          <w:tcPr>
            <w:tcW w:type="dxa" w:w="29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A"/>
                <w:sz w:val="18"/>
                <w:szCs w:val="18"/>
              </w:rPr>
              <w:t xml:space="preserve">Training Compliance</w:t>
            </w:r>
          </w:p>
        </w:tc>
        <w:tc>
          <w:tcPr>
            <w:tcW w:type="dxa" w:w="36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% of tank-area personnel current on HSE / emergency response training</w:t>
            </w:r>
          </w:p>
        </w:tc>
        <w:tc>
          <w:tcPr>
            <w:tcW w:type="dxa" w:w="16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100%</w:t>
            </w:r>
          </w:p>
        </w:tc>
        <w:tc>
          <w:tcPr>
            <w:tcW w:type="dxa" w:w="13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Quarterly</w:t>
            </w:r>
          </w:p>
        </w:tc>
        <w:tc>
          <w:tcPr>
            <w:tcW w:type="dxa" w:w="14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LMS / Training Matrix</w:t>
            </w:r>
          </w:p>
        </w:tc>
      </w:tr>
    </w:tbl>
    <w:p>
      <w:pPr>
        <w:spacing w:after="250"/>
      </w:pPr>
    </w:p>
    <w:tbl>
      <w:tblPr>
        <w:tblW w:type="dxa" w:w="10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800"/>
      </w:tblGrid>
      <w:tr>
        <w:tc>
          <w:tcPr>
            <w:tcW w:type="dxa" w:w="108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404040" w:color="auto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SECTION G — LAGGING INDICATORS (OUTCOME KPIs)</w:t>
            </w:r>
          </w:p>
        </w:tc>
      </w:tr>
    </w:tbl>
    <w:p>
      <w:pPr>
        <w:spacing w:after="80"/>
      </w:pPr>
    </w:p>
    <w:tbl>
      <w:tblPr>
        <w:tblW w:type="dxa" w:w="10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800"/>
      </w:tblGrid>
      <w:tr>
        <w:tc>
          <w:tcPr>
            <w:tcW w:type="dxa" w:w="108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2F2F2" w:color="auto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A1A1A"/>
                <w:sz w:val="18"/>
                <w:szCs w:val="18"/>
              </w:rPr>
              <w:t xml:space="preserve">NOTE: </w:t>
            </w:r>
            <w:r>
              <w:rPr>
                <w:rFonts w:ascii="Calibri" w:cs="Calibri" w:eastAsia="Calibri" w:hAnsi="Calibri"/>
                <w:i/>
                <w:iCs/>
                <w:color w:val="1A1A1A"/>
                <w:sz w:val="18"/>
                <w:szCs w:val="18"/>
              </w:rPr>
              <w:t xml:space="preserve">Lagging indicators measure the outcomes of safety performance after an incident or failure has occurred.</w:t>
            </w:r>
          </w:p>
        </w:tc>
      </w:tr>
    </w:tbl>
    <w:p>
      <w:pPr>
        <w:spacing w:after="100"/>
      </w:pPr>
    </w:p>
    <w:tbl>
      <w:tblPr>
        <w:tblW w:type="dxa" w:w="10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900"/>
        <w:gridCol w:w="3600"/>
        <w:gridCol w:w="1600"/>
        <w:gridCol w:w="1300"/>
        <w:gridCol w:w="1400"/>
      </w:tblGrid>
      <w:tr>
        <w:trPr>
          <w:tblHeader/>
        </w:trPr>
        <w:tc>
          <w:tcPr>
            <w:tcW w:type="dxa" w:w="29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D9D9D9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A"/>
                <w:sz w:val="18"/>
                <w:szCs w:val="18"/>
              </w:rPr>
              <w:t xml:space="preserve">Indicator</w:t>
            </w:r>
          </w:p>
        </w:tc>
        <w:tc>
          <w:tcPr>
            <w:tcW w:type="dxa" w:w="36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D9D9D9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A"/>
                <w:sz w:val="18"/>
                <w:szCs w:val="18"/>
              </w:rPr>
              <w:t xml:space="preserve">Definition / Metric</w:t>
            </w:r>
          </w:p>
        </w:tc>
        <w:tc>
          <w:tcPr>
            <w:tcW w:type="dxa" w:w="16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D9D9D9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A"/>
                <w:sz w:val="18"/>
                <w:szCs w:val="18"/>
              </w:rPr>
              <w:t xml:space="preserve">Target / Threshold</w:t>
            </w:r>
          </w:p>
        </w:tc>
        <w:tc>
          <w:tcPr>
            <w:tcW w:type="dxa" w:w="13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D9D9D9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A"/>
                <w:sz w:val="18"/>
                <w:szCs w:val="18"/>
              </w:rPr>
              <w:t xml:space="preserve">Reporting
Frequency</w:t>
            </w:r>
          </w:p>
        </w:tc>
        <w:tc>
          <w:tcPr>
            <w:tcW w:type="dxa" w:w="14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D9D9D9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A"/>
                <w:sz w:val="18"/>
                <w:szCs w:val="18"/>
              </w:rPr>
              <w:t xml:space="preserve">Data Source</w:t>
            </w:r>
          </w:p>
        </w:tc>
      </w:tr>
      <w:tr>
        <w:tc>
          <w:tcPr>
            <w:tcW w:type="dxa" w:w="29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A"/>
                <w:sz w:val="18"/>
                <w:szCs w:val="18"/>
              </w:rPr>
              <w:t xml:space="preserve">Loss of Primary Containment (LOPC) Events</w:t>
            </w:r>
          </w:p>
        </w:tc>
        <w:tc>
          <w:tcPr>
            <w:tcW w:type="dxa" w:w="36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No. of tank leaks, spills, or overfills recorded</w:t>
            </w:r>
          </w:p>
        </w:tc>
        <w:tc>
          <w:tcPr>
            <w:tcW w:type="dxa" w:w="16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0</w:t>
            </w:r>
          </w:p>
        </w:tc>
        <w:tc>
          <w:tcPr>
            <w:tcW w:type="dxa" w:w="13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Monthly</w:t>
            </w:r>
          </w:p>
        </w:tc>
        <w:tc>
          <w:tcPr>
            <w:tcW w:type="dxa" w:w="14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Incident Register</w:t>
            </w:r>
          </w:p>
        </w:tc>
      </w:tr>
      <w:tr>
        <w:tc>
          <w:tcPr>
            <w:tcW w:type="dxa" w:w="29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A"/>
                <w:sz w:val="18"/>
                <w:szCs w:val="18"/>
              </w:rPr>
              <w:t xml:space="preserve">Fire / Explosion Incidents</w:t>
            </w:r>
          </w:p>
        </w:tc>
        <w:tc>
          <w:tcPr>
            <w:tcW w:type="dxa" w:w="36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No. of fire or explosion events involving tanks</w:t>
            </w:r>
          </w:p>
        </w:tc>
        <w:tc>
          <w:tcPr>
            <w:tcW w:type="dxa" w:w="16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0</w:t>
            </w:r>
          </w:p>
        </w:tc>
        <w:tc>
          <w:tcPr>
            <w:tcW w:type="dxa" w:w="13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Monthly</w:t>
            </w:r>
          </w:p>
        </w:tc>
        <w:tc>
          <w:tcPr>
            <w:tcW w:type="dxa" w:w="14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Incident Register</w:t>
            </w:r>
          </w:p>
        </w:tc>
      </w:tr>
      <w:tr>
        <w:tc>
          <w:tcPr>
            <w:tcW w:type="dxa" w:w="29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A"/>
                <w:sz w:val="18"/>
                <w:szCs w:val="18"/>
              </w:rPr>
              <w:t xml:space="preserve">Lost Time Injury Frequency Rate (LTIFR)</w:t>
            </w:r>
          </w:p>
        </w:tc>
        <w:tc>
          <w:tcPr>
            <w:tcW w:type="dxa" w:w="36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LTIs x 200,000 / total man-hours worked in tank farm area</w:t>
            </w:r>
          </w:p>
        </w:tc>
        <w:tc>
          <w:tcPr>
            <w:tcW w:type="dxa" w:w="16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≤ Company target</w:t>
            </w:r>
          </w:p>
        </w:tc>
        <w:tc>
          <w:tcPr>
            <w:tcW w:type="dxa" w:w="13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Monthly</w:t>
            </w:r>
          </w:p>
        </w:tc>
        <w:tc>
          <w:tcPr>
            <w:tcW w:type="dxa" w:w="14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HSE Statistics</w:t>
            </w:r>
          </w:p>
        </w:tc>
      </w:tr>
      <w:tr>
        <w:tc>
          <w:tcPr>
            <w:tcW w:type="dxa" w:w="29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A"/>
                <w:sz w:val="18"/>
                <w:szCs w:val="18"/>
              </w:rPr>
              <w:t xml:space="preserve">Environmental Non-Compliance</w:t>
            </w:r>
          </w:p>
        </w:tc>
        <w:tc>
          <w:tcPr>
            <w:tcW w:type="dxa" w:w="36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No. of reportable environmental exceedances / spills</w:t>
            </w:r>
          </w:p>
        </w:tc>
        <w:tc>
          <w:tcPr>
            <w:tcW w:type="dxa" w:w="16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0</w:t>
            </w:r>
          </w:p>
        </w:tc>
        <w:tc>
          <w:tcPr>
            <w:tcW w:type="dxa" w:w="13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Monthly</w:t>
            </w:r>
          </w:p>
        </w:tc>
        <w:tc>
          <w:tcPr>
            <w:tcW w:type="dxa" w:w="14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Regulatory Log</w:t>
            </w:r>
          </w:p>
        </w:tc>
      </w:tr>
      <w:tr>
        <w:tc>
          <w:tcPr>
            <w:tcW w:type="dxa" w:w="29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A"/>
                <w:sz w:val="18"/>
                <w:szCs w:val="18"/>
              </w:rPr>
              <w:t xml:space="preserve">Total Recordable Incident Rate (TRIR)</w:t>
            </w:r>
          </w:p>
        </w:tc>
        <w:tc>
          <w:tcPr>
            <w:tcW w:type="dxa" w:w="36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Recordable incidents x 200,000 / total man-hours</w:t>
            </w:r>
          </w:p>
        </w:tc>
        <w:tc>
          <w:tcPr>
            <w:tcW w:type="dxa" w:w="16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≤ Company target</w:t>
            </w:r>
          </w:p>
        </w:tc>
        <w:tc>
          <w:tcPr>
            <w:tcW w:type="dxa" w:w="13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Quarterly</w:t>
            </w:r>
          </w:p>
        </w:tc>
        <w:tc>
          <w:tcPr>
            <w:tcW w:type="dxa" w:w="14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HSE Statistics</w:t>
            </w:r>
          </w:p>
        </w:tc>
      </w:tr>
      <w:tr>
        <w:tc>
          <w:tcPr>
            <w:tcW w:type="dxa" w:w="29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A"/>
                <w:sz w:val="18"/>
                <w:szCs w:val="18"/>
              </w:rPr>
              <w:t xml:space="preserve">Equipment Failure Events</w:t>
            </w:r>
          </w:p>
        </w:tc>
        <w:tc>
          <w:tcPr>
            <w:tcW w:type="dxa" w:w="36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No. of critical safety device failures (PVRV, gas detectors, ESD)</w:t>
            </w:r>
          </w:p>
        </w:tc>
        <w:tc>
          <w:tcPr>
            <w:tcW w:type="dxa" w:w="16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0</w:t>
            </w:r>
          </w:p>
        </w:tc>
        <w:tc>
          <w:tcPr>
            <w:tcW w:type="dxa" w:w="13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Monthly</w:t>
            </w:r>
          </w:p>
        </w:tc>
        <w:tc>
          <w:tcPr>
            <w:tcW w:type="dxa" w:w="14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Maintenance Log</w:t>
            </w:r>
          </w:p>
        </w:tc>
      </w:tr>
    </w:tbl>
    <w:p>
      <w:pPr>
        <w:spacing w:after="250"/>
      </w:pPr>
    </w:p>
    <w:tbl>
      <w:tblPr>
        <w:tblW w:type="dxa" w:w="10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800"/>
      </w:tblGrid>
      <w:tr>
        <w:tc>
          <w:tcPr>
            <w:tcW w:type="dxa" w:w="108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404040" w:color="auto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SECTION H — INSPECTION SIGN-OFF</w:t>
            </w:r>
          </w:p>
        </w:tc>
      </w:tr>
    </w:tbl>
    <w:p>
      <w:pPr>
        <w:spacing w:after="120"/>
      </w:pPr>
    </w:p>
    <w:tbl>
      <w:tblPr>
        <w:tblW w:type="dxa" w:w="10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700"/>
        <w:gridCol w:w="2700"/>
        <w:gridCol w:w="2700"/>
        <w:gridCol w:w="2700"/>
      </w:tblGrid>
      <w:tr>
        <w:trPr>
          <w:tblHeader/>
        </w:trPr>
        <w:tc>
          <w:tcPr>
            <w:tcW w:type="dxa" w:w="27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D9D9D9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A"/>
                <w:sz w:val="18"/>
                <w:szCs w:val="18"/>
              </w:rPr>
              <w:t xml:space="preserve">Conducted By</w:t>
            </w:r>
          </w:p>
        </w:tc>
        <w:tc>
          <w:tcPr>
            <w:tcW w:type="dxa" w:w="27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D9D9D9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A"/>
                <w:sz w:val="18"/>
                <w:szCs w:val="18"/>
              </w:rPr>
              <w:t xml:space="preserve">Reviewed By</w:t>
            </w:r>
          </w:p>
        </w:tc>
        <w:tc>
          <w:tcPr>
            <w:tcW w:type="dxa" w:w="27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D9D9D9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A"/>
                <w:sz w:val="18"/>
                <w:szCs w:val="18"/>
              </w:rPr>
              <w:t xml:space="preserve">Approved By</w:t>
            </w:r>
          </w:p>
        </w:tc>
        <w:tc>
          <w:tcPr>
            <w:tcW w:type="dxa" w:w="27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D9D9D9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A"/>
                <w:sz w:val="18"/>
                <w:szCs w:val="18"/>
              </w:rPr>
              <w:t xml:space="preserve">Date of Inspection</w:t>
            </w:r>
          </w:p>
        </w:tc>
      </w:tr>
      <w:tr>
        <w:tc>
          <w:tcPr>
            <w:tcW w:type="dxa" w:w="27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color w:val="1A1A1A"/>
                <w:sz w:val="16"/>
                <w:szCs w:val="16"/>
              </w:rPr>
              <w:t xml:space="preserve">Process / HSE Engineer</w:t>
            </w:r>
          </w:p>
        </w:tc>
        <w:tc>
          <w:tcPr>
            <w:tcW w:type="dxa" w:w="27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color w:val="1A1A1A"/>
                <w:sz w:val="16"/>
                <w:szCs w:val="16"/>
              </w:rPr>
              <w:t xml:space="preserve">HSE Supervisor / Manager</w:t>
            </w:r>
          </w:p>
        </w:tc>
        <w:tc>
          <w:tcPr>
            <w:tcW w:type="dxa" w:w="27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color w:val="1A1A1A"/>
                <w:sz w:val="16"/>
                <w:szCs w:val="16"/>
              </w:rPr>
              <w:t xml:space="preserve">Plant / Site Manager</w:t>
            </w:r>
          </w:p>
        </w:tc>
        <w:tc>
          <w:tcPr>
            <w:tcW w:type="dxa" w:w="27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27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type="dxa" w:w="27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type="dxa" w:w="27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type="dxa" w:w="27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27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D9D9D9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Name &amp; Signature</w:t>
            </w:r>
          </w:p>
        </w:tc>
        <w:tc>
          <w:tcPr>
            <w:tcW w:type="dxa" w:w="27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D9D9D9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Name &amp; Signature</w:t>
            </w:r>
          </w:p>
        </w:tc>
        <w:tc>
          <w:tcPr>
            <w:tcW w:type="dxa" w:w="27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D9D9D9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Name &amp; Signature</w:t>
            </w:r>
          </w:p>
        </w:tc>
        <w:tc>
          <w:tcPr>
            <w:tcW w:type="dxa" w:w="27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D9D9D9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Next Inspection Due</w:t>
            </w:r>
          </w:p>
        </w:tc>
      </w:tr>
      <w:tr>
        <w:tc>
          <w:tcPr>
            <w:tcW w:type="dxa" w:w="27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type="dxa" w:w="27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type="dxa" w:w="27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type="dxa" w:w="2700"/>
            <w:tcBorders>
              <w:top w:val="single" w:color="A6A6A6" w:sz="2"/>
              <w:left w:val="single" w:color="A6A6A6" w:sz="2"/>
              <w:bottom w:val="single" w:color="A6A6A6" w:sz="2"/>
              <w:right w:val="single" w:color="A6A6A6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 </w:t>
            </w:r>
          </w:p>
        </w:tc>
      </w:tr>
    </w:tbl>
    <w:p>
      <w:pPr>
        <w:spacing w:after="200"/>
      </w:pPr>
    </w:p>
    <w:p>
      <w:pPr>
        <w:spacing w:before="150"/>
      </w:pPr>
      <w:r>
        <w:rPr>
          <w:rFonts w:ascii="Calibri" w:cs="Calibri" w:eastAsia="Calibri" w:hAnsi="Calibri"/>
          <w:b/>
          <w:bCs/>
          <w:color w:val="404040"/>
          <w:sz w:val="18"/>
          <w:szCs w:val="18"/>
        </w:rPr>
        <w:t xml:space="preserve">Remarks / Corrective Actions Required:</w:t>
      </w:r>
    </w:p>
    <w:p>
      <w:pPr>
        <w:spacing w:after="60"/>
      </w:pPr>
    </w:p>
    <w:p>
      <w:pPr>
        <w:pBdr>
          <w:bottom w:val="single" w:color="A6A6A6" w:sz="4" w:space="4"/>
        </w:pBdr>
        <w:spacing w:after="240"/>
      </w:pPr>
      <w:r>
        <w:rPr>
          <w:rFonts w:ascii="Calibri" w:cs="Calibri" w:eastAsia="Calibri" w:hAnsi="Calibri"/>
          <w:sz w:val="18"/>
          <w:szCs w:val="18"/>
        </w:rPr>
        <w:t xml:space="preserve"> </w:t>
      </w:r>
    </w:p>
    <w:p>
      <w:pPr>
        <w:pBdr>
          <w:bottom w:val="single" w:color="A6A6A6" w:sz="4" w:space="4"/>
        </w:pBdr>
        <w:spacing w:after="240"/>
      </w:pPr>
      <w:r>
        <w:rPr>
          <w:rFonts w:ascii="Calibri" w:cs="Calibri" w:eastAsia="Calibri" w:hAnsi="Calibri"/>
          <w:sz w:val="18"/>
          <w:szCs w:val="18"/>
        </w:rPr>
        <w:t xml:space="preserve"> </w:t>
      </w:r>
    </w:p>
    <w:p>
      <w:pPr>
        <w:pBdr>
          <w:bottom w:val="single" w:color="A6A6A6" w:sz="4" w:space="4"/>
        </w:pBdr>
        <w:spacing w:after="240"/>
      </w:pPr>
      <w:r>
        <w:rPr>
          <w:rFonts w:ascii="Calibri" w:cs="Calibri" w:eastAsia="Calibri" w:hAnsi="Calibri"/>
          <w:sz w:val="18"/>
          <w:szCs w:val="18"/>
        </w:rPr>
        <w:t xml:space="preserve"> </w:t>
      </w:r>
    </w:p>
    <w:p>
      <w:pPr>
        <w:pBdr>
          <w:bottom w:val="single" w:color="A6A6A6" w:sz="4" w:space="4"/>
        </w:pBdr>
        <w:spacing w:after="240"/>
      </w:pPr>
      <w:r>
        <w:rPr>
          <w:rFonts w:ascii="Calibri" w:cs="Calibri" w:eastAsia="Calibri" w:hAnsi="Calibri"/>
          <w:sz w:val="18"/>
          <w:szCs w:val="18"/>
        </w:rPr>
        <w:t xml:space="preserve"> </w:t>
      </w:r>
    </w:p>
    <w:sectPr>
      <w:headerReference w:type="default" r:id="rId7"/>
      <w:footerReference w:type="default" r:id="rId8"/>
      <w:pgSz w:w="12240" w:h="15840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808080"/>
        <w:sz w:val="14"/>
        <w:szCs w:val="14"/>
      </w:rPr>
      <w:t xml:space="preserve">Confidential — For Internal HSE Use Only   |   Page </w:t>
    </w:r>
    <w:r>
      <w:rPr>
        <w:rFonts w:ascii="Calibri" w:cs="Calibri" w:eastAsia="Calibri" w:hAnsi="Calibri"/>
        <w:color w:val="808080"/>
        <w:sz w:val="14"/>
        <w:szCs w:val="14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808080"/>
        <w:sz w:val="14"/>
        <w:szCs w:val="14"/>
      </w:rPr>
      <w:t xml:space="preserve"> of </w:t>
    </w:r>
    <w:r>
      <w:rPr>
        <w:rFonts w:ascii="Calibri" w:cs="Calibri" w:eastAsia="Calibri" w:hAnsi="Calibri"/>
        <w:color w:val="808080"/>
        <w:sz w:val="14"/>
        <w:szCs w:val="14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rFonts w:ascii="Calibri" w:cs="Calibri" w:eastAsia="Calibri" w:hAnsi="Calibri"/>
        <w:color w:val="808080"/>
        <w:sz w:val="14"/>
        <w:szCs w:val="14"/>
      </w:rPr>
      <w:t xml:space="preserve">Doc No: HSE-TNK-CHK-001 | Rev: 00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2026-07-27T07:03:28.475Z</dcterms:created>
  <dcterms:modified xsi:type="dcterms:W3CDTF">2026-07-27T07:03:28.490Z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